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2024年非同凡响—天津血液肿瘤创新交流会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一、</w:t>
      </w:r>
      <w:r>
        <w:rPr>
          <w:rFonts w:hint="eastAsia" w:ascii="宋体" w:hAnsi="宋体" w:eastAsia="宋体"/>
          <w:sz w:val="28"/>
          <w:szCs w:val="28"/>
        </w:rPr>
        <w:t>主办单位：北京中西医慢病防治促进会</w:t>
      </w:r>
    </w:p>
    <w:p>
      <w:pPr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二、</w:t>
      </w:r>
      <w:r>
        <w:rPr>
          <w:rFonts w:hint="eastAsia" w:ascii="宋体" w:hAnsi="宋体" w:eastAsia="宋体"/>
          <w:sz w:val="28"/>
          <w:szCs w:val="28"/>
        </w:rPr>
        <w:t>会议时间：2024年6月30日</w:t>
      </w:r>
    </w:p>
    <w:p>
      <w:pPr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三、</w:t>
      </w:r>
      <w:r>
        <w:rPr>
          <w:rFonts w:hint="eastAsia" w:ascii="宋体" w:hAnsi="宋体" w:eastAsia="宋体"/>
          <w:sz w:val="28"/>
          <w:szCs w:val="28"/>
        </w:rPr>
        <w:t>会议形式：线上+线下（天津燕园国际大酒店）</w:t>
      </w:r>
    </w:p>
    <w:p>
      <w:pPr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四、</w:t>
      </w:r>
      <w:r>
        <w:rPr>
          <w:rFonts w:hint="eastAsia" w:ascii="宋体" w:hAnsi="宋体" w:eastAsia="宋体"/>
          <w:sz w:val="28"/>
          <w:szCs w:val="28"/>
        </w:rPr>
        <w:t>会议规模：线下40人、线上100人左右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五、</w:t>
      </w:r>
      <w:r>
        <w:rPr>
          <w:rFonts w:hint="eastAsia" w:ascii="宋体" w:hAnsi="宋体" w:eastAsia="宋体"/>
          <w:sz w:val="28"/>
          <w:szCs w:val="28"/>
        </w:rPr>
        <w:t>联系人：吴燕  13311092973</w:t>
      </w:r>
    </w:p>
    <w:p>
      <w:pPr>
        <w:ind w:firstLine="562"/>
        <w:jc w:val="both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六、会议日程：</w:t>
      </w:r>
      <w:bookmarkStart w:id="0" w:name="_GoBack"/>
      <w:bookmarkEnd w:id="0"/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</w:p>
    <w:tbl>
      <w:tblPr>
        <w:tblStyle w:val="3"/>
        <w:tblpPr w:leftFromText="180" w:rightFromText="180" w:vertAnchor="text" w:horzAnchor="page" w:tblpX="553" w:tblpY="1"/>
        <w:tblOverlap w:val="never"/>
        <w:tblW w:w="111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3147"/>
        <w:gridCol w:w="3513"/>
        <w:gridCol w:w="2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讲题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讲者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主席/主持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14:30-14:40</w:t>
            </w:r>
          </w:p>
        </w:tc>
        <w:tc>
          <w:tcPr>
            <w:tcW w:w="9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会议开场：李巍 教授</w:t>
            </w: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 天津市南开医院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14:40-15:10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骨髓瘤的热点数据更新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婷 教授</w:t>
            </w: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天津医科大学总医院</w:t>
            </w: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宋 嘉 </w:t>
            </w: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教授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天津医科大学总医院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15:10-15:25</w:t>
            </w:r>
          </w:p>
        </w:tc>
        <w:tc>
          <w:tcPr>
            <w:tcW w:w="3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大咖点评：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赵海丰 教授</w:t>
            </w: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天津市肿瘤医院</w:t>
            </w: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马    静  教授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天津市肿瘤医院</w:t>
            </w: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15:25-15:55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POST-EHA——惰性淋巴瘤数据更新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田   晨  教授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天津市肿瘤医院</w:t>
            </w: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15:55-16:10</w:t>
            </w:r>
          </w:p>
        </w:tc>
        <w:tc>
          <w:tcPr>
            <w:tcW w:w="3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大咖点评：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李静怡 教授 </w:t>
            </w: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天津市第一中心医院</w:t>
            </w: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滕广帅 教授</w:t>
            </w: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天津医科大学第二医院</w:t>
            </w: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16:10-16:40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CLL长疗程病例一例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邵媛媛 </w:t>
            </w: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教授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天津医科大学总医院</w:t>
            </w: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琦 教授</w:t>
            </w: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天津市第一中心医院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16:40-16:55</w:t>
            </w:r>
          </w:p>
        </w:tc>
        <w:tc>
          <w:tcPr>
            <w:tcW w:w="3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大咖点评：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亮 教授</w:t>
            </w: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天津市第四中心医院</w:t>
            </w: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李  倩 教授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</w:t>
            </w: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16:55-17:25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MM规范化治疗优秀病例一例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于泳 </w:t>
            </w: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教授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天津市肿瘤医院</w:t>
            </w: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17:25-17:40</w:t>
            </w:r>
          </w:p>
        </w:tc>
        <w:tc>
          <w:tcPr>
            <w:tcW w:w="3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大咖点评：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胡耐博 教授 </w:t>
            </w: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天津市海河医院</w:t>
            </w: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赵邢力 教授</w:t>
            </w: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天津市人民医院</w:t>
            </w: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17:40-17:50</w:t>
            </w:r>
          </w:p>
        </w:tc>
        <w:tc>
          <w:tcPr>
            <w:tcW w:w="9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会议总结：李巍 教授</w:t>
            </w:r>
            <w:r>
              <w:rPr>
                <w:rStyle w:val="5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天津市南开医院</w:t>
            </w:r>
          </w:p>
        </w:tc>
      </w:tr>
    </w:tbl>
    <w:p>
      <w:pPr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注：实际日程以当日发生为准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color w:val="404040"/>
          <w:sz w:val="24"/>
          <w:szCs w:val="24"/>
          <w:lang w:eastAsia="zh-CN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/>
          <w:bCs/>
          <w:color w:val="40404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color w:val="404040"/>
          <w:sz w:val="24"/>
          <w:szCs w:val="24"/>
        </w:rPr>
        <w:t>支持明细：</w:t>
      </w:r>
    </w:p>
    <w:tbl>
      <w:tblPr>
        <w:tblStyle w:val="3"/>
        <w:tblW w:w="96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4775"/>
        <w:gridCol w:w="1087"/>
        <w:gridCol w:w="20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描述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单位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专题会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会议专题会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30min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宣传视频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会前5min播放企业宣传视频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会议主形象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会议主形象添加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展位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会议统一安排线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展位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2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鸣谢LOGO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2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串场幻灯尾页添加企业LOGO鸣谢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2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2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串场幻灯片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串场幻灯片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添加企业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会议海报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会议海报添加企业LOGO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right="24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其他支持形式：请联系主办方，以获得各项目的细节并确定具体费用和预算。</w:t>
            </w:r>
          </w:p>
        </w:tc>
      </w:tr>
    </w:tbl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八、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付款方式：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户  名：北京中西医慢病防治促进会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开户行：中国农业银行股份有限公司北京航天桥支行</w:t>
      </w:r>
    </w:p>
    <w:p>
      <w:pPr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账  号：</w:t>
      </w:r>
      <w:r>
        <w:rPr>
          <w:rFonts w:ascii="宋体" w:hAnsi="宋体" w:eastAsia="宋体" w:cs="宋体"/>
          <w:color w:val="auto"/>
          <w:sz w:val="24"/>
          <w:szCs w:val="24"/>
        </w:rPr>
        <w:t>11211201040006115</w:t>
      </w:r>
    </w:p>
    <w:p>
      <w:pPr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ind w:firstLine="560"/>
        <w:rPr>
          <w:rFonts w:ascii="宋体" w:hAnsi="宋体" w:eastAsia="宋体"/>
          <w:color w:val="auto"/>
          <w:sz w:val="24"/>
          <w:szCs w:val="24"/>
        </w:rPr>
      </w:pPr>
    </w:p>
    <w:p>
      <w:pPr>
        <w:jc w:val="righ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北京中西医慢病防治促进会</w:t>
      </w:r>
    </w:p>
    <w:p>
      <w:pPr>
        <w:wordWrap w:val="0"/>
        <w:jc w:val="righ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2</w:t>
      </w:r>
      <w:r>
        <w:rPr>
          <w:rFonts w:ascii="宋体" w:hAnsi="宋体" w:eastAsia="宋体"/>
          <w:color w:val="auto"/>
          <w:sz w:val="24"/>
          <w:szCs w:val="24"/>
        </w:rPr>
        <w:t>02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4"/>
          <w:szCs w:val="24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4"/>
          <w:szCs w:val="24"/>
        </w:rPr>
        <w:t>月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59823F1A"/>
    <w:rsid w:val="4D232668"/>
    <w:rsid w:val="59823F1A"/>
    <w:rsid w:val="6F9B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2024-06-18T09:32:00Z</dcterms:created>
  <dc:creator>Administrator</dc:creator>
  <cp:lastModifiedBy>Administrator</cp:lastModifiedBy>
  <dcterms:modified xsi:type="dcterms:W3CDTF">2024-06-18T09:36:11Z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155FCB418FB2424A803B3BB4CC5781C8_11</vt:lpwstr>
  </property>
</Properties>
</file>